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E0" w:rsidRPr="000D5BE0" w:rsidRDefault="000D5BE0" w:rsidP="000D5BE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4" w:type="dxa"/>
        <w:jc w:val="center"/>
        <w:tblLook w:val="04A0" w:firstRow="1" w:lastRow="0" w:firstColumn="1" w:lastColumn="0" w:noHBand="0" w:noVBand="1"/>
      </w:tblPr>
      <w:tblGrid>
        <w:gridCol w:w="4519"/>
        <w:gridCol w:w="1186"/>
        <w:gridCol w:w="4519"/>
      </w:tblGrid>
      <w:tr w:rsidR="000D5BE0" w:rsidRPr="000D5BE0" w:rsidTr="00783102">
        <w:trPr>
          <w:trHeight w:val="1619"/>
          <w:jc w:val="center"/>
        </w:trPr>
        <w:tc>
          <w:tcPr>
            <w:tcW w:w="4519" w:type="dxa"/>
          </w:tcPr>
          <w:p w:rsidR="000D5BE0" w:rsidRPr="000D5BE0" w:rsidRDefault="000D5BE0" w:rsidP="000D5BE0">
            <w:pPr>
              <w:keepNext/>
              <w:spacing w:after="0" w:line="240" w:lineRule="auto"/>
              <w:ind w:left="-108"/>
              <w:outlineLvl w:val="1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БАШ?ОРТОСТАН РЕСПУБЛИКА№ЫНЫ*</w:t>
            </w: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 xml:space="preserve">?ЫЙ;Ы РАЙОНЫ </w:t>
            </w: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 xml:space="preserve">МУНИЦИПАЛ РАЙОНЫНЫ* </w:t>
            </w: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КАНДАКОВКА АУЫЛ СОВЕТЫ</w:t>
            </w: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ХАКИМИ</w:t>
            </w: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8"/>
                <w:szCs w:val="20"/>
                <w:lang w:eastAsia="ru-RU"/>
              </w:rPr>
              <w:t>2</w:t>
            </w: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</w:p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144" w:lineRule="auto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D5BE0" w:rsidRPr="000D5BE0" w:rsidRDefault="000D5BE0" w:rsidP="000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E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864235" cy="932180"/>
                  <wp:effectExtent l="0" t="0" r="0" b="1270"/>
                  <wp:wrapNone/>
                  <wp:docPr id="1" name="Рисунок 1" descr="gerbki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k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</w:tcPr>
          <w:p w:rsidR="000D5BE0" w:rsidRPr="000D5BE0" w:rsidRDefault="000D5BE0" w:rsidP="000D5BE0">
            <w:pPr>
              <w:keepNext/>
              <w:spacing w:after="0" w:line="240" w:lineRule="auto"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D5BE0" w:rsidRPr="000D5BE0" w:rsidRDefault="000D5BE0" w:rsidP="000D5BE0">
            <w:pPr>
              <w:keepNext/>
              <w:spacing w:after="0" w:line="240" w:lineRule="auto"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</w:t>
            </w: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КАНДАКОВСКИЙ СЕЛЬСОВЕТ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КИГИНСКИЙ РАЙОН</w:t>
            </w:r>
          </w:p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0D5BE0" w:rsidRPr="000D5BE0" w:rsidRDefault="000D5BE0" w:rsidP="000D5BE0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5BE0" w:rsidRPr="000D5BE0" w:rsidRDefault="000D5BE0" w:rsidP="000D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9540" cy="57150"/>
                <wp:effectExtent l="0" t="0" r="35560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57150"/>
                          <a:chOff x="0" y="0"/>
                          <a:chExt cx="5943600" cy="57150"/>
                        </a:xfrm>
                      </wpg:grpSpPr>
                      <wps:wsp>
                        <wps:cNvPr id="15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E1DF3" id="Группа 14" o:spid="_x0000_s1026" style="position:absolute;margin-left:0;margin-top:.75pt;width:510.2pt;height:4.5pt;z-index:251658240;mso-position-horizontal:center;mso-position-horizontal-relative:margin;mso-width-relative:margin;mso-height-relative:margin" coordsize="5943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">
                <v:line id="Прямая соединительная линия 15" o:spid="_x0000_s1027" style="position:absolute;flip:y;visibility:visible;mso-wrap-style:square" from="0,0" to="59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6" o:spid="_x0000_s1028" style="position:absolute;flip:y;visibility:visible;mso-wrap-style:square" from="0,571" to="5943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c1T8AAAADbAAAADwAAAGRycy9kb3ducmV2LnhtbERPTWsCMRC9C/0PYQq9iGZbqchqlLZg&#10;ld5qxfOwGTeLO5Ntkur235tCwds83ucsVj236kwhNl4MPI4LUCSVt43UBvZf69EMVEwoFlsvZOCX&#10;IqyWd4MFltZf5JPOu1SrHCKxRAMupa7UOlaOGOPYdySZO/rAmDIMtbYBLzmcW/1UFFPN2EhucNjR&#10;m6PqtPthA8+u4u16vxl+T/AjJGZ+fd8cjHm471/moBL16Sb+d29tnj+Fv1/y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nNU/AAAAA2wAAAA8AAAAAAAAAAAAAAAAA&#10;oQIAAGRycy9kb3ducmV2LnhtbFBLBQYAAAAABAAEAPkAAACOAwAAAAA=&#10;" strokeweight="3pt"/>
                <w10:wrap anchorx="margin"/>
              </v:group>
            </w:pict>
          </mc:Fallback>
        </mc:AlternateConten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535"/>
        <w:gridCol w:w="1191"/>
        <w:gridCol w:w="3772"/>
      </w:tblGrid>
      <w:tr w:rsidR="000D5BE0" w:rsidRPr="000D5BE0" w:rsidTr="00783102">
        <w:trPr>
          <w:trHeight w:val="80"/>
        </w:trPr>
        <w:tc>
          <w:tcPr>
            <w:tcW w:w="4535" w:type="dxa"/>
          </w:tcPr>
          <w:p w:rsidR="000D5BE0" w:rsidRPr="000D5BE0" w:rsidRDefault="000D5BE0" w:rsidP="000D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0D5BE0" w:rsidRPr="000D5BE0" w:rsidRDefault="000D5BE0" w:rsidP="000D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</w:tcPr>
          <w:p w:rsidR="000D5BE0" w:rsidRPr="000D5BE0" w:rsidRDefault="000D5BE0" w:rsidP="000D5BE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5BE0" w:rsidRPr="000D5BE0" w:rsidRDefault="000D5BE0" w:rsidP="000D5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BE0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D5BE0" w:rsidRPr="000D5BE0" w:rsidRDefault="000D5BE0" w:rsidP="000D5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BE0" w:rsidRPr="000D5BE0" w:rsidRDefault="000D5BE0" w:rsidP="000D5BE0">
      <w:pPr>
        <w:keepNext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28"/>
          <w:szCs w:val="28"/>
          <w:lang w:eastAsia="ru-RU"/>
        </w:rPr>
      </w:pPr>
      <w:r w:rsidRPr="000D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7BB7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</w:t>
      </w:r>
      <w:r w:rsidRPr="000D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35A5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3</w:t>
      </w:r>
      <w:r w:rsidRPr="000D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</w:t>
      </w:r>
      <w:r w:rsidR="00347B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33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7BB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13 марта</w:t>
      </w:r>
      <w:r w:rsidRPr="000D5BE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0D5B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5A5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3</w:t>
      </w:r>
      <w:r w:rsidRPr="000D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5BE0" w:rsidRPr="000D5BE0" w:rsidRDefault="000D5BE0" w:rsidP="000D5BE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7BB7" w:rsidRPr="006F4934" w:rsidRDefault="00347BB7" w:rsidP="00347B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493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Кигинский район Республики Башкортостан</w:t>
      </w:r>
    </w:p>
    <w:p w:rsidR="00347BB7" w:rsidRDefault="00347BB7" w:rsidP="00347BB7">
      <w:pPr>
        <w:pStyle w:val="ConsPlusNormal"/>
        <w:jc w:val="both"/>
      </w:pPr>
    </w:p>
    <w:p w:rsidR="00347BB7" w:rsidRPr="006F4934" w:rsidRDefault="00347BB7" w:rsidP="00347BB7">
      <w:pPr>
        <w:pStyle w:val="ConsPlusNormal"/>
        <w:ind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35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20.09.2014 N 963 (ред. от 01.12.2021) &quot;Об осуществлении банковского сопровождения контрактов&quot; (вместе с &quot;Правилами осуществления банковского сопровождения контрактов&quot;) {КонсультантПлюс}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N 963 "Об осуществлении банковского сопровождения контрактов" Правительство Республики Башкортостан, Постановлением  Правительство Республики Башкортостан от 15 ноября 2021 года №598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3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47BB7" w:rsidRPr="006F4934" w:rsidRDefault="00347BB7" w:rsidP="00347BB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6F4934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Башкортостан, осуществляется в следующих случаях:</w:t>
      </w:r>
    </w:p>
    <w:p w:rsidR="00347BB7" w:rsidRPr="006F4934" w:rsidRDefault="00347BB7" w:rsidP="00347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100 млн.рублей;</w:t>
      </w:r>
    </w:p>
    <w:p w:rsidR="00347BB7" w:rsidRDefault="00347BB7" w:rsidP="00347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</w:t>
      </w:r>
      <w:r w:rsidRPr="006F4934">
        <w:rPr>
          <w:rFonts w:ascii="Times New Roman" w:hAnsi="Times New Roman" w:cs="Times New Roman"/>
          <w:sz w:val="28"/>
          <w:szCs w:val="28"/>
        </w:rPr>
        <w:lastRenderedPageBreak/>
        <w:t>оказание банком иных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150 млн.рублей.</w:t>
      </w:r>
      <w:bookmarkStart w:id="1" w:name="P20"/>
      <w:bookmarkEnd w:id="1"/>
    </w:p>
    <w:p w:rsidR="00347BB7" w:rsidRPr="006F4934" w:rsidRDefault="00347BB7" w:rsidP="00347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2. Установить, что положения </w:t>
      </w:r>
      <w:hyperlink w:anchor="P17" w:tooltip="1. Определить, что банковское сопровождение контрактов, предметом которых являются поставки товаров, выполнение работ, оказание услуг для государственных нужд Республики Башкортостан, осуществляется в следующих случаях:">
        <w:r w:rsidRPr="006F4934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6F4934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применяются:</w:t>
      </w:r>
    </w:p>
    <w:p w:rsidR="00347BB7" w:rsidRPr="006F4934" w:rsidRDefault="00347BB7" w:rsidP="00347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закупок услуг по предоставлению кредитных средств для финансирования дефицита бюджета и (или) погашения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Башкортостан;</w:t>
      </w:r>
    </w:p>
    <w:p w:rsidR="00347BB7" w:rsidRPr="006F4934" w:rsidRDefault="00347BB7" w:rsidP="00347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34">
        <w:rPr>
          <w:rFonts w:ascii="Times New Roman" w:hAnsi="Times New Roman" w:cs="Times New Roman"/>
          <w:sz w:val="28"/>
          <w:szCs w:val="28"/>
        </w:rPr>
        <w:t xml:space="preserve">в отношении муниципальных контрактов на поставку товаров, выполнение работ, оказание услуг, подлежащих казначейскому сопровождению в случаях, установленных отдельными </w:t>
      </w:r>
      <w:r>
        <w:rPr>
          <w:rFonts w:ascii="Times New Roman" w:hAnsi="Times New Roman" w:cs="Times New Roman"/>
          <w:sz w:val="28"/>
          <w:szCs w:val="28"/>
        </w:rPr>
        <w:t xml:space="preserve">решениями Правительства Республики Башкортостан, нормативными правовыми актами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2" w:name="_GoBack"/>
      <w:bookmarkEnd w:id="2"/>
      <w:r w:rsidRPr="006F4934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</w:p>
    <w:p w:rsidR="00347BB7" w:rsidRPr="00681338" w:rsidRDefault="00347BB7" w:rsidP="00347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33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7BB7" w:rsidRPr="00681338" w:rsidRDefault="00347BB7" w:rsidP="00347BB7">
      <w:pPr>
        <w:pStyle w:val="ConsPlusNormal"/>
        <w:jc w:val="right"/>
      </w:pPr>
    </w:p>
    <w:p w:rsidR="00347BB7" w:rsidRPr="00681338" w:rsidRDefault="00347BB7" w:rsidP="00347BB7">
      <w:pPr>
        <w:pStyle w:val="ConsPlusNormal"/>
        <w:jc w:val="right"/>
      </w:pPr>
    </w:p>
    <w:p w:rsidR="00347BB7" w:rsidRPr="00347BB7" w:rsidRDefault="00347BB7" w:rsidP="00347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BB7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Э.А. Забихуллина</w:t>
      </w:r>
    </w:p>
    <w:p w:rsidR="00347BB7" w:rsidRPr="00681338" w:rsidRDefault="00347BB7" w:rsidP="00347BB7">
      <w:pPr>
        <w:pStyle w:val="ConsPlusNormal"/>
        <w:jc w:val="right"/>
      </w:pPr>
    </w:p>
    <w:p w:rsidR="00347BB7" w:rsidRPr="00681338" w:rsidRDefault="00347BB7" w:rsidP="00347BB7">
      <w:pPr>
        <w:pStyle w:val="ConsPlusNormal"/>
        <w:jc w:val="right"/>
      </w:pPr>
    </w:p>
    <w:p w:rsidR="00347BB7" w:rsidRPr="00681338" w:rsidRDefault="00347BB7" w:rsidP="00347BB7">
      <w:pPr>
        <w:pStyle w:val="ConsPlusNormal"/>
        <w:jc w:val="right"/>
      </w:pPr>
    </w:p>
    <w:p w:rsidR="00E8730F" w:rsidRDefault="00E8730F" w:rsidP="00347B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30F" w:rsidRDefault="00E8730F" w:rsidP="000D5BE0">
      <w:pPr>
        <w:spacing w:after="0" w:line="360" w:lineRule="auto"/>
        <w:ind w:firstLine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30F" w:rsidRDefault="00E8730F" w:rsidP="000D5BE0">
      <w:pPr>
        <w:spacing w:after="0" w:line="360" w:lineRule="auto"/>
        <w:ind w:firstLine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8730F" w:rsidSect="007C3593">
      <w:pgSz w:w="11906" w:h="16838"/>
      <w:pgMar w:top="426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1F" w:rsidRDefault="00E97D1F" w:rsidP="000D5BE0">
      <w:pPr>
        <w:spacing w:after="0" w:line="240" w:lineRule="auto"/>
      </w:pPr>
      <w:r>
        <w:separator/>
      </w:r>
    </w:p>
  </w:endnote>
  <w:endnote w:type="continuationSeparator" w:id="0">
    <w:p w:rsidR="00E97D1F" w:rsidRDefault="00E97D1F" w:rsidP="000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1F" w:rsidRDefault="00E97D1F" w:rsidP="000D5BE0">
      <w:pPr>
        <w:spacing w:after="0" w:line="240" w:lineRule="auto"/>
      </w:pPr>
      <w:r>
        <w:separator/>
      </w:r>
    </w:p>
  </w:footnote>
  <w:footnote w:type="continuationSeparator" w:id="0">
    <w:p w:rsidR="00E97D1F" w:rsidRDefault="00E97D1F" w:rsidP="000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BDD"/>
    <w:multiLevelType w:val="hybridMultilevel"/>
    <w:tmpl w:val="154456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0"/>
    <w:rsid w:val="00063605"/>
    <w:rsid w:val="000D5BE0"/>
    <w:rsid w:val="001C7CBC"/>
    <w:rsid w:val="003038C9"/>
    <w:rsid w:val="00315460"/>
    <w:rsid w:val="00335A51"/>
    <w:rsid w:val="00347BB7"/>
    <w:rsid w:val="00481E27"/>
    <w:rsid w:val="00594E56"/>
    <w:rsid w:val="005D3C2B"/>
    <w:rsid w:val="005E0B31"/>
    <w:rsid w:val="006B3478"/>
    <w:rsid w:val="006D15AC"/>
    <w:rsid w:val="00724F60"/>
    <w:rsid w:val="007C3593"/>
    <w:rsid w:val="007D408B"/>
    <w:rsid w:val="00882B40"/>
    <w:rsid w:val="008C6CD0"/>
    <w:rsid w:val="0098117A"/>
    <w:rsid w:val="009D3A47"/>
    <w:rsid w:val="00A319B7"/>
    <w:rsid w:val="00A83E68"/>
    <w:rsid w:val="00AA5051"/>
    <w:rsid w:val="00BF3725"/>
    <w:rsid w:val="00D02C6E"/>
    <w:rsid w:val="00D224B9"/>
    <w:rsid w:val="00D90371"/>
    <w:rsid w:val="00DF47BD"/>
    <w:rsid w:val="00E5469E"/>
    <w:rsid w:val="00E725FC"/>
    <w:rsid w:val="00E8730F"/>
    <w:rsid w:val="00E97D1F"/>
    <w:rsid w:val="00EF2F6C"/>
    <w:rsid w:val="00F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C86D-0079-4DF9-AE1F-E704E6B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BE0"/>
  </w:style>
  <w:style w:type="paragraph" w:styleId="a5">
    <w:name w:val="footer"/>
    <w:basedOn w:val="a"/>
    <w:link w:val="a6"/>
    <w:uiPriority w:val="99"/>
    <w:unhideWhenUsed/>
    <w:rsid w:val="000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E0"/>
  </w:style>
  <w:style w:type="paragraph" w:styleId="a7">
    <w:name w:val="Balloon Text"/>
    <w:basedOn w:val="a"/>
    <w:link w:val="a8"/>
    <w:uiPriority w:val="99"/>
    <w:semiHidden/>
    <w:unhideWhenUsed/>
    <w:rsid w:val="000D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BE0"/>
    <w:rPr>
      <w:rFonts w:ascii="Segoe UI" w:hAnsi="Segoe UI" w:cs="Segoe UI"/>
      <w:sz w:val="18"/>
      <w:szCs w:val="18"/>
    </w:rPr>
  </w:style>
  <w:style w:type="character" w:customStyle="1" w:styleId="11pt0pt">
    <w:name w:val="Основной текст + 11 pt;Интервал 0 pt"/>
    <w:basedOn w:val="a0"/>
    <w:rsid w:val="003038C9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594E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94E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347B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7B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48CB45E0742779B33BA4906E67805E07911472987D1D161BAC44EAD3A9CF9513E6C98FB4FE537257A395D19EE84A287C5BB95FCL3T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A7EC777833EB085A50C1551699ECA7E00803096C2B759417B29B53F5A2765E11E01B458147609E75823ED8697A99ECBD43AM4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2023-03-13T04:18:00Z</cp:lastPrinted>
  <dcterms:created xsi:type="dcterms:W3CDTF">2023-03-13T04:13:00Z</dcterms:created>
  <dcterms:modified xsi:type="dcterms:W3CDTF">2023-03-13T04:25:00Z</dcterms:modified>
</cp:coreProperties>
</file>